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4270"/>
        <w:gridCol w:w="3536"/>
        <w:gridCol w:w="3536"/>
      </w:tblGrid>
      <w:tr w:rsidR="005E6A33" w:rsidRPr="00F10FE1" w:rsidTr="00473819">
        <w:tc>
          <w:tcPr>
            <w:tcW w:w="2802" w:type="dxa"/>
          </w:tcPr>
          <w:p w:rsidR="005E6A33" w:rsidRPr="00F10FE1" w:rsidRDefault="00473819" w:rsidP="00F1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Elementos de heteronomia</w:t>
            </w:r>
          </w:p>
        </w:tc>
        <w:tc>
          <w:tcPr>
            <w:tcW w:w="4270" w:type="dxa"/>
          </w:tcPr>
          <w:p w:rsidR="005E6A33" w:rsidRPr="00F10FE1" w:rsidRDefault="005E6A33" w:rsidP="00F1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Versão </w:t>
            </w:r>
            <w:proofErr w:type="gramStart"/>
            <w:r w:rsidRPr="00F10F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36" w:type="dxa"/>
          </w:tcPr>
          <w:p w:rsidR="005E6A33" w:rsidRPr="00F10FE1" w:rsidRDefault="005E6A33" w:rsidP="00F1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Versão </w:t>
            </w:r>
            <w:proofErr w:type="gramStart"/>
            <w:r w:rsidRPr="00F10F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36" w:type="dxa"/>
          </w:tcPr>
          <w:p w:rsidR="005E6A33" w:rsidRPr="00F10FE1" w:rsidRDefault="005E6A33" w:rsidP="00F10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FE1">
              <w:rPr>
                <w:rFonts w:ascii="Times New Roman" w:hAnsi="Times New Roman" w:cs="Times New Roman"/>
                <w:b/>
                <w:sz w:val="24"/>
                <w:szCs w:val="24"/>
              </w:rPr>
              <w:t>Observação:</w:t>
            </w:r>
          </w:p>
        </w:tc>
      </w:tr>
      <w:tr w:rsidR="005E6A33" w:rsidRPr="00F10FE1" w:rsidTr="00473819">
        <w:tc>
          <w:tcPr>
            <w:tcW w:w="2802" w:type="dxa"/>
          </w:tcPr>
          <w:p w:rsidR="005E6A33" w:rsidRPr="00F10FE1" w:rsidRDefault="00473819" w:rsidP="00F10F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Objetivos gerais</w:t>
            </w:r>
            <w:r w:rsidR="005E6A33" w:rsidRPr="00F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Programa</w:t>
            </w:r>
          </w:p>
        </w:tc>
        <w:tc>
          <w:tcPr>
            <w:tcW w:w="4270" w:type="dxa"/>
          </w:tcPr>
          <w:p w:rsidR="005E6A33" w:rsidRPr="00F10FE1" w:rsidRDefault="005E6A33" w:rsidP="00F10FE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Governança, gestão e empreendedorismo</w:t>
            </w:r>
            <w:r w:rsidR="00F10FE1" w:rsidRPr="00F10FE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6A33" w:rsidRPr="00F10FE1" w:rsidRDefault="005E6A33" w:rsidP="00F10FE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Pesquisa e inovação</w:t>
            </w:r>
            <w:r w:rsidR="00F10FE1" w:rsidRPr="00F10FE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6A33" w:rsidRPr="00F10FE1" w:rsidRDefault="005E6A33" w:rsidP="00F10FE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Internacionalização</w:t>
            </w:r>
            <w:r w:rsidR="00F10FE1" w:rsidRPr="00F10F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6A33" w:rsidRPr="00F10FE1" w:rsidRDefault="005E6A33" w:rsidP="00F10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:rsidR="005E6A33" w:rsidRPr="00F10FE1" w:rsidRDefault="005E6A33" w:rsidP="00F10FE1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Pesquisa, desenvolvimento tecnológico e inovação</w:t>
            </w:r>
            <w:r w:rsidR="00F10FE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6A33" w:rsidRPr="00F10FE1" w:rsidRDefault="005E6A33" w:rsidP="00F10FE1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Empreendedorismo</w:t>
            </w:r>
            <w:r w:rsidR="00F10FE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E6A33" w:rsidRPr="00F10FE1" w:rsidRDefault="005E6A33" w:rsidP="00F10FE1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Internacionalização</w:t>
            </w:r>
            <w:r w:rsidR="00F10F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6A33" w:rsidRPr="00F10FE1" w:rsidRDefault="00473819" w:rsidP="00473819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536" w:type="dxa"/>
          </w:tcPr>
          <w:p w:rsidR="005E6A33" w:rsidRPr="00F10FE1" w:rsidRDefault="005E6A33" w:rsidP="005D3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O programa continua mantendo três eixos, mas a ordem deles foi alterada e as menções à governança e à gestão foram retiradas</w:t>
            </w:r>
            <w:r w:rsidRPr="005D30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5D3012" w:rsidRPr="005D3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3012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bookmarkStart w:id="0" w:name="_GoBack"/>
            <w:bookmarkEnd w:id="0"/>
            <w:r w:rsidR="005D3012" w:rsidRPr="005D3012">
              <w:rPr>
                <w:rFonts w:ascii="Times New Roman" w:hAnsi="Times New Roman" w:cs="Times New Roman"/>
                <w:sz w:val="20"/>
                <w:szCs w:val="20"/>
              </w:rPr>
              <w:t xml:space="preserve">Art. 2º </w:t>
            </w:r>
            <w:r w:rsidR="005D3012">
              <w:rPr>
                <w:rFonts w:ascii="Times New Roman" w:hAnsi="Times New Roman" w:cs="Times New Roman"/>
                <w:sz w:val="20"/>
                <w:szCs w:val="20"/>
              </w:rPr>
              <w:t>afirma que</w:t>
            </w:r>
            <w:r w:rsidR="005D3012" w:rsidRPr="005D3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3012">
              <w:rPr>
                <w:rFonts w:ascii="Times New Roman" w:hAnsi="Times New Roman" w:cs="Times New Roman"/>
                <w:sz w:val="20"/>
                <w:szCs w:val="20"/>
              </w:rPr>
              <w:t>a ações</w:t>
            </w:r>
            <w:r w:rsidR="005D3012" w:rsidRPr="005D3012">
              <w:rPr>
                <w:rFonts w:ascii="Times New Roman" w:hAnsi="Times New Roman" w:cs="Times New Roman"/>
                <w:sz w:val="20"/>
                <w:szCs w:val="20"/>
              </w:rPr>
              <w:t xml:space="preserve"> devem ser orientadas pelos princípios da legalidade,</w:t>
            </w:r>
            <w:r w:rsidR="005D3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3012" w:rsidRPr="005D3012">
              <w:rPr>
                <w:rFonts w:ascii="Times New Roman" w:hAnsi="Times New Roman" w:cs="Times New Roman"/>
                <w:sz w:val="20"/>
                <w:szCs w:val="20"/>
              </w:rPr>
              <w:t>impessoalidade, moralidade, publicidade, economicidade e eficiência, bem como</w:t>
            </w:r>
            <w:r w:rsidR="005D3012">
              <w:rPr>
                <w:rFonts w:ascii="Times New Roman" w:hAnsi="Times New Roman" w:cs="Times New Roman"/>
                <w:sz w:val="20"/>
                <w:szCs w:val="20"/>
              </w:rPr>
              <w:t xml:space="preserve"> a o</w:t>
            </w:r>
            <w:r w:rsidR="005D3012" w:rsidRPr="005D3012">
              <w:rPr>
                <w:rFonts w:ascii="Times New Roman" w:hAnsi="Times New Roman" w:cs="Times New Roman"/>
                <w:sz w:val="20"/>
                <w:szCs w:val="20"/>
              </w:rPr>
              <w:t xml:space="preserve">bediência à autonomia universitária, </w:t>
            </w:r>
            <w:r w:rsidR="005D3012">
              <w:rPr>
                <w:rFonts w:ascii="Times New Roman" w:hAnsi="Times New Roman" w:cs="Times New Roman"/>
                <w:sz w:val="20"/>
                <w:szCs w:val="20"/>
              </w:rPr>
              <w:t xml:space="preserve">prevista no art. 207 da Constituição (não estava na versão </w:t>
            </w:r>
            <w:proofErr w:type="gramStart"/>
            <w:r w:rsidR="005D30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5D30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E6A33" w:rsidRPr="00F10FE1" w:rsidTr="00473819">
        <w:tc>
          <w:tcPr>
            <w:tcW w:w="2802" w:type="dxa"/>
          </w:tcPr>
          <w:p w:rsidR="005E6A33" w:rsidRPr="00F10FE1" w:rsidRDefault="005E6A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Atuação das OS, Fundações de Apoio </w:t>
            </w:r>
            <w:proofErr w:type="spellStart"/>
            <w:proofErr w:type="gramStart"/>
            <w:r w:rsidRPr="00F10FE1">
              <w:rPr>
                <w:rFonts w:ascii="Times New Roman" w:hAnsi="Times New Roman" w:cs="Times New Roman"/>
                <w:b/>
                <w:sz w:val="24"/>
                <w:szCs w:val="24"/>
              </w:rPr>
              <w:t>etc</w:t>
            </w:r>
            <w:proofErr w:type="spellEnd"/>
            <w:proofErr w:type="gramEnd"/>
          </w:p>
        </w:tc>
        <w:tc>
          <w:tcPr>
            <w:tcW w:w="4270" w:type="dxa"/>
          </w:tcPr>
          <w:p w:rsidR="005E6A33" w:rsidRPr="00F10FE1" w:rsidRDefault="005E6A33" w:rsidP="00F10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Apenas organizações sociais (OS) eram citadas na minuta original</w:t>
            </w: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 como entidades de caráter privado e fins sociais aptas a participa</w:t>
            </w:r>
            <w:r w:rsidR="00F10FE1">
              <w:rPr>
                <w:rFonts w:ascii="Times New Roman" w:hAnsi="Times New Roman" w:cs="Times New Roman"/>
                <w:sz w:val="20"/>
                <w:szCs w:val="20"/>
              </w:rPr>
              <w:t>rem. O</w:t>
            </w: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 xml:space="preserve">utras entidades que poderiam ser criadas no âmbito das instituições </w:t>
            </w:r>
            <w:proofErr w:type="spellStart"/>
            <w:r w:rsidR="00F10FE1">
              <w:rPr>
                <w:rFonts w:ascii="Times New Roman" w:hAnsi="Times New Roman" w:cs="Times New Roman"/>
                <w:sz w:val="20"/>
                <w:szCs w:val="20"/>
              </w:rPr>
              <w:t>seram</w:t>
            </w:r>
            <w:proofErr w:type="spellEnd"/>
            <w:r w:rsidRPr="00F10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0FE1" w:rsidRPr="00F10FE1">
              <w:rPr>
                <w:rFonts w:ascii="Times New Roman" w:hAnsi="Times New Roman" w:cs="Times New Roman"/>
                <w:sz w:val="20"/>
                <w:szCs w:val="20"/>
              </w:rPr>
              <w:t>as </w:t>
            </w:r>
            <w:r w:rsidR="00F10FE1" w:rsidRPr="00F10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Sociedades de Propósito Específicas (SPE)</w:t>
            </w: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 xml:space="preserve"> e </w:t>
            </w:r>
            <w:proofErr w:type="gramStart"/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as </w:t>
            </w:r>
            <w:r w:rsidRPr="00F10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startups</w:t>
            </w:r>
            <w:proofErr w:type="gramEnd"/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36" w:type="dxa"/>
          </w:tcPr>
          <w:p w:rsidR="005E6A33" w:rsidRPr="00F10FE1" w:rsidRDefault="005E6A33" w:rsidP="005E6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Inclui no texto as </w:t>
            </w:r>
            <w:r w:rsidRPr="00F10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fundações de apoio</w:t>
            </w: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 como uma alternativa às </w:t>
            </w:r>
            <w:r w:rsidRPr="00F10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organizações sociais</w:t>
            </w:r>
            <w:r w:rsidR="00F10F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6A33" w:rsidRPr="00F10FE1" w:rsidRDefault="005E6A33" w:rsidP="005E6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:rsidR="005E6A33" w:rsidRPr="00F10FE1" w:rsidRDefault="00F10FE1" w:rsidP="00F10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 xml:space="preserve">Além das </w:t>
            </w:r>
            <w:r w:rsidRPr="00F10FE1">
              <w:rPr>
                <w:rFonts w:ascii="Times New Roman" w:hAnsi="Times New Roman" w:cs="Times New Roman"/>
                <w:b/>
                <w:sz w:val="20"/>
                <w:szCs w:val="20"/>
              </w:rPr>
              <w:t>OS</w:t>
            </w: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 xml:space="preserve"> e da entrada das fundações de apoio, as </w:t>
            </w:r>
            <w:r w:rsidRPr="00F10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SPE e </w:t>
            </w:r>
            <w:proofErr w:type="gramStart"/>
            <w:r w:rsidRPr="00F10FE1">
              <w:rPr>
                <w:rFonts w:ascii="Times New Roman" w:hAnsi="Times New Roman" w:cs="Times New Roman"/>
                <w:b/>
                <w:sz w:val="20"/>
                <w:szCs w:val="20"/>
              </w:rPr>
              <w:t>as startups</w:t>
            </w:r>
            <w:proofErr w:type="gramEnd"/>
            <w:r w:rsidRPr="00F10FE1">
              <w:rPr>
                <w:rFonts w:ascii="Times New Roman" w:hAnsi="Times New Roman" w:cs="Times New Roman"/>
                <w:sz w:val="20"/>
                <w:szCs w:val="20"/>
              </w:rPr>
              <w:t xml:space="preserve"> também seguem contempladas na nova versão</w:t>
            </w:r>
          </w:p>
        </w:tc>
      </w:tr>
      <w:tr w:rsidR="005E6A33" w:rsidRPr="00F10FE1" w:rsidTr="00473819">
        <w:tc>
          <w:tcPr>
            <w:tcW w:w="2802" w:type="dxa"/>
          </w:tcPr>
          <w:p w:rsidR="005E6A33" w:rsidRPr="00F10FE1" w:rsidRDefault="00473819" w:rsidP="00F10F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Relação com as OS e Fundações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4270" w:type="dxa"/>
          </w:tcPr>
          <w:p w:rsidR="005E6A33" w:rsidRPr="00F10FE1" w:rsidRDefault="005E6A33" w:rsidP="00F10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A ideia original era que se baseassem em "contratos de gestão" que fossem firmados entre a União e cada instituição com uma ou mais organizações sociais (OS) – o número delas não estava definido. </w:t>
            </w:r>
          </w:p>
        </w:tc>
        <w:tc>
          <w:tcPr>
            <w:tcW w:w="3536" w:type="dxa"/>
          </w:tcPr>
          <w:p w:rsidR="005E6A33" w:rsidRPr="00F10FE1" w:rsidRDefault="00AF0EBC" w:rsidP="00F10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A nova versão estipula que a União firmará um contrato com cada instituição, e cada documento terá uma série de metas. Uma lista de indicadores será definida para acompanhar o cumprimento da meta.</w:t>
            </w:r>
          </w:p>
        </w:tc>
        <w:tc>
          <w:tcPr>
            <w:tcW w:w="3536" w:type="dxa"/>
          </w:tcPr>
          <w:p w:rsidR="005E6A33" w:rsidRPr="00F10FE1" w:rsidRDefault="00AF0EBC" w:rsidP="00F10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Na primeira proposta, os contratos de gestão eram mais detalhados, incluindo um plano de ação e diretrizes na governança e na gestão da política de pessoal.</w:t>
            </w:r>
          </w:p>
          <w:p w:rsidR="00AF0EBC" w:rsidRPr="00F10FE1" w:rsidRDefault="00AF0EBC" w:rsidP="00F10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 xml:space="preserve">Na versão </w:t>
            </w:r>
            <w:proofErr w:type="gramStart"/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10FE1">
              <w:rPr>
                <w:rFonts w:ascii="Times New Roman" w:hAnsi="Times New Roman" w:cs="Times New Roman"/>
                <w:sz w:val="20"/>
                <w:szCs w:val="20"/>
              </w:rPr>
              <w:t xml:space="preserve"> não informa se esses indicadores se referem ao desempenho de gestão, financeiro ou acadêmico, </w:t>
            </w:r>
          </w:p>
        </w:tc>
      </w:tr>
      <w:tr w:rsidR="00AF0EBC" w:rsidRPr="00F10FE1" w:rsidTr="00473819">
        <w:tc>
          <w:tcPr>
            <w:tcW w:w="2802" w:type="dxa"/>
          </w:tcPr>
          <w:p w:rsidR="00AF0EBC" w:rsidRPr="00F10FE1" w:rsidRDefault="00473819" w:rsidP="00F10F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Adesão</w:t>
            </w:r>
          </w:p>
        </w:tc>
        <w:tc>
          <w:tcPr>
            <w:tcW w:w="4270" w:type="dxa"/>
          </w:tcPr>
          <w:p w:rsidR="00AF0EBC" w:rsidRPr="00F10FE1" w:rsidRDefault="00AF0EBC" w:rsidP="00F10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A adesão de cada universidade seria voluntária</w:t>
            </w:r>
            <w:r w:rsidR="00F10FE1">
              <w:rPr>
                <w:rFonts w:ascii="Times New Roman" w:hAnsi="Times New Roman" w:cs="Times New Roman"/>
                <w:sz w:val="20"/>
                <w:szCs w:val="20"/>
              </w:rPr>
              <w:t xml:space="preserve">, só teria </w:t>
            </w: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acess</w:t>
            </w:r>
            <w:r w:rsidR="00F10FE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0FE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os recursos financeiros alternativos que o programa buscaria</w:t>
            </w:r>
            <w:r w:rsidR="00F10FE1">
              <w:rPr>
                <w:rFonts w:ascii="Times New Roman" w:hAnsi="Times New Roman" w:cs="Times New Roman"/>
                <w:sz w:val="20"/>
                <w:szCs w:val="20"/>
              </w:rPr>
              <w:t xml:space="preserve"> quem aderisse</w:t>
            </w: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0EBC" w:rsidRPr="00F10FE1" w:rsidRDefault="00AF0EBC" w:rsidP="00F10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As condições de adesão implicavam ainda que as instituições se submetessem a um "comitê gestor" responsável por definir diretrizes de ação, avaliar o desempenho e inclusive definir qual seria o critério para que docentes pudessem se candidatar ao cargo de reitor. </w:t>
            </w:r>
          </w:p>
          <w:p w:rsidR="00AF0EBC" w:rsidRPr="00F10FE1" w:rsidRDefault="00AF0EBC" w:rsidP="00F10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:rsidR="00AF0EBC" w:rsidRPr="00F10FE1" w:rsidRDefault="00AF0EBC" w:rsidP="00F10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A proposta atual eliminou qualquer menção a despesa com pessoal e também o benefício de bônus eventuais. Agora, a contrapartida para quem decidir celebrar o contrato</w:t>
            </w:r>
            <w:r w:rsidR="00F10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será o acesso aos </w:t>
            </w:r>
            <w:r w:rsidRPr="00F10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"benefícios especiais"</w:t>
            </w: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, que incluem recursos de fundos patrimoniais.</w:t>
            </w:r>
          </w:p>
        </w:tc>
        <w:tc>
          <w:tcPr>
            <w:tcW w:w="3536" w:type="dxa"/>
          </w:tcPr>
          <w:p w:rsidR="00AF0EBC" w:rsidRPr="00F10FE1" w:rsidRDefault="00F10FE1" w:rsidP="00F10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AF0EBC" w:rsidRPr="00F10FE1">
              <w:rPr>
                <w:rFonts w:ascii="Times New Roman" w:hAnsi="Times New Roman" w:cs="Times New Roman"/>
                <w:sz w:val="20"/>
                <w:szCs w:val="20"/>
              </w:rPr>
              <w:t>irculou internamente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 MEC</w:t>
            </w:r>
            <w:r w:rsidR="00AF0EBC" w:rsidRPr="00F10FE1">
              <w:rPr>
                <w:rFonts w:ascii="Times New Roman" w:hAnsi="Times New Roman" w:cs="Times New Roman"/>
                <w:sz w:val="20"/>
                <w:szCs w:val="20"/>
              </w:rPr>
              <w:t xml:space="preserve"> no início da semana,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uma versão que </w:t>
            </w:r>
            <w:r w:rsidR="00AF0EBC" w:rsidRPr="00F10FE1">
              <w:rPr>
                <w:rFonts w:ascii="Times New Roman" w:hAnsi="Times New Roman" w:cs="Times New Roman"/>
                <w:sz w:val="20"/>
                <w:szCs w:val="20"/>
              </w:rPr>
              <w:t>obrigava que tod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 as instituições promovessem </w:t>
            </w:r>
            <w:r w:rsidR="00AF0EBC" w:rsidRPr="00F10FE1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edução de despesa com pessoal.</w:t>
            </w:r>
          </w:p>
        </w:tc>
      </w:tr>
      <w:tr w:rsidR="00AF0EBC" w:rsidRPr="00F10FE1" w:rsidTr="00473819">
        <w:tc>
          <w:tcPr>
            <w:tcW w:w="2802" w:type="dxa"/>
          </w:tcPr>
          <w:p w:rsidR="00AF0EBC" w:rsidRPr="00F10FE1" w:rsidRDefault="00473819" w:rsidP="00F10F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Privatização disfarçada</w:t>
            </w:r>
          </w:p>
        </w:tc>
        <w:tc>
          <w:tcPr>
            <w:tcW w:w="4270" w:type="dxa"/>
          </w:tcPr>
          <w:p w:rsidR="00AF0EBC" w:rsidRPr="00F10FE1" w:rsidRDefault="00F10FE1" w:rsidP="00F10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AF0EBC" w:rsidRPr="00F10FE1">
              <w:rPr>
                <w:rFonts w:ascii="Times New Roman" w:hAnsi="Times New Roman" w:cs="Times New Roman"/>
                <w:sz w:val="20"/>
                <w:szCs w:val="20"/>
              </w:rPr>
              <w:t xml:space="preserve">riação de um fundo, vinculado ao Ministério da Educação, com a finalidade de possibilitar o aumento da autonomia financeira das </w:t>
            </w:r>
            <w:proofErr w:type="spellStart"/>
            <w:r w:rsidR="00AF0EBC" w:rsidRPr="00F10FE1">
              <w:rPr>
                <w:rFonts w:ascii="Times New Roman" w:hAnsi="Times New Roman" w:cs="Times New Roman"/>
                <w:sz w:val="20"/>
                <w:szCs w:val="20"/>
              </w:rPr>
              <w:t>Ifes</w:t>
            </w:r>
            <w:proofErr w:type="spellEnd"/>
            <w:r w:rsidR="00AF0EBC" w:rsidRPr="00F10FE1">
              <w:rPr>
                <w:rFonts w:ascii="Times New Roman" w:hAnsi="Times New Roman" w:cs="Times New Roman"/>
                <w:sz w:val="20"/>
                <w:szCs w:val="20"/>
              </w:rPr>
              <w:t>, e também em incentivar práticas como a cessão de "</w:t>
            </w:r>
            <w:proofErr w:type="spellStart"/>
            <w:r w:rsidR="00AF0EBC" w:rsidRPr="00F10FE1">
              <w:rPr>
                <w:rFonts w:ascii="Times New Roman" w:hAnsi="Times New Roman" w:cs="Times New Roman"/>
                <w:sz w:val="20"/>
                <w:szCs w:val="20"/>
              </w:rPr>
              <w:t>naming</w:t>
            </w:r>
            <w:proofErr w:type="spellEnd"/>
            <w:r w:rsidR="00AF0EBC" w:rsidRPr="00F10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F0EBC" w:rsidRPr="00F10FE1">
              <w:rPr>
                <w:rFonts w:ascii="Times New Roman" w:hAnsi="Times New Roman" w:cs="Times New Roman"/>
                <w:sz w:val="20"/>
                <w:szCs w:val="20"/>
              </w:rPr>
              <w:t>rights</w:t>
            </w:r>
            <w:proofErr w:type="spellEnd"/>
            <w:r w:rsidR="00AF0EBC" w:rsidRPr="00F10FE1">
              <w:rPr>
                <w:rFonts w:ascii="Times New Roman" w:hAnsi="Times New Roman" w:cs="Times New Roman"/>
                <w:sz w:val="20"/>
                <w:szCs w:val="20"/>
              </w:rPr>
              <w:t>", a comercialização de produtos, a criação de fundos patrimoniais (conhecidos como '</w:t>
            </w:r>
            <w:proofErr w:type="spellStart"/>
            <w:r w:rsidR="00AF0EBC" w:rsidRPr="00F10FE1">
              <w:rPr>
                <w:rFonts w:ascii="Times New Roman" w:hAnsi="Times New Roman" w:cs="Times New Roman"/>
                <w:sz w:val="20"/>
                <w:szCs w:val="20"/>
              </w:rPr>
              <w:t>endownment</w:t>
            </w:r>
            <w:proofErr w:type="spellEnd"/>
            <w:r w:rsidR="00AF0EBC" w:rsidRPr="00F10FE1">
              <w:rPr>
                <w:rFonts w:ascii="Times New Roman" w:hAnsi="Times New Roman" w:cs="Times New Roman"/>
                <w:sz w:val="20"/>
                <w:szCs w:val="20"/>
              </w:rPr>
              <w:t>') e a gestão de imóveis como formas alternativas de complementar o orçamento das instituições.</w:t>
            </w:r>
          </w:p>
          <w:p w:rsidR="00AF0EBC" w:rsidRPr="00F10FE1" w:rsidRDefault="00AF0EBC" w:rsidP="00F10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Permissões que os hospitais universitários pudessem cobrar pelo atendimento médico aos pacientes que têm plano privado de saúde.</w:t>
            </w:r>
          </w:p>
        </w:tc>
        <w:tc>
          <w:tcPr>
            <w:tcW w:w="3536" w:type="dxa"/>
          </w:tcPr>
          <w:p w:rsidR="00F10FE1" w:rsidRPr="00F10FE1" w:rsidRDefault="00AF0EBC" w:rsidP="00F10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 xml:space="preserve">O novo texto </w:t>
            </w:r>
            <w:r w:rsidR="00F10FE1">
              <w:rPr>
                <w:rFonts w:ascii="Times New Roman" w:hAnsi="Times New Roman" w:cs="Times New Roman"/>
                <w:sz w:val="20"/>
                <w:szCs w:val="20"/>
              </w:rPr>
              <w:t xml:space="preserve">retira </w:t>
            </w: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a ideia de cobrança por atendimento médico nos hospitais universitários, mas manteve as principais sugestões de fontes alternativas de financiamento e detalha os dois principais fundos propostos: o </w:t>
            </w:r>
            <w:r w:rsidRPr="00F10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Fundo Patrimonial do Future-se</w:t>
            </w: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 e o chamado </w:t>
            </w:r>
            <w:r w:rsidRPr="00F10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Fundo Soberano do Conhecimento</w:t>
            </w: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F0EBC" w:rsidRPr="00F10FE1" w:rsidRDefault="00AF0EBC" w:rsidP="00F10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:rsidR="00AF0EBC" w:rsidRPr="00F10FE1" w:rsidRDefault="00AF0EBC" w:rsidP="00F10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Nos dois casos, o MEC diz que não fará licitação para a escolha da instituição.</w:t>
            </w:r>
          </w:p>
          <w:p w:rsidR="00AF0EBC" w:rsidRPr="00F10FE1" w:rsidRDefault="00AF0EBC" w:rsidP="00F10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O Fundo Patrimonial do Future-se, de acordo com o documento, segue uma medida provisória assinada pelo ex-presidente Michel Temer em 2018 e convertida na Lei 13.800 em janeiro de 2019.</w:t>
            </w:r>
          </w:p>
        </w:tc>
      </w:tr>
      <w:tr w:rsidR="00AF0EBC" w:rsidRPr="00F10FE1" w:rsidTr="00473819">
        <w:tc>
          <w:tcPr>
            <w:tcW w:w="2802" w:type="dxa"/>
          </w:tcPr>
          <w:p w:rsidR="00AF0EBC" w:rsidRPr="00F10FE1" w:rsidRDefault="00AF0EBC" w:rsidP="00F10F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FE1">
              <w:rPr>
                <w:rFonts w:ascii="Times New Roman" w:hAnsi="Times New Roman" w:cs="Times New Roman"/>
                <w:b/>
                <w:sz w:val="24"/>
                <w:szCs w:val="24"/>
              </w:rPr>
              <w:t>Alteração de Leis</w:t>
            </w:r>
          </w:p>
        </w:tc>
        <w:tc>
          <w:tcPr>
            <w:tcW w:w="4270" w:type="dxa"/>
          </w:tcPr>
          <w:p w:rsidR="00AF0EBC" w:rsidRPr="00F10FE1" w:rsidRDefault="00AF0EBC" w:rsidP="00F10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Previa alterar um total de 17 leis.</w:t>
            </w:r>
            <w:r w:rsidR="00F10FE1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 xml:space="preserve"> nova versão inclui a alteração de 15 leis. Mas </w:t>
            </w:r>
            <w:r w:rsidRPr="00F10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MEC</w:t>
            </w: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10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desistiu de mudar quatro leis</w:t>
            </w: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 que estavam no plano original, e </w:t>
            </w:r>
            <w:r w:rsidRPr="00F10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incluiu outras duas</w:t>
            </w: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 que não estavam no primeiro texto.</w:t>
            </w:r>
          </w:p>
        </w:tc>
        <w:tc>
          <w:tcPr>
            <w:tcW w:w="3536" w:type="dxa"/>
          </w:tcPr>
          <w:p w:rsidR="00AF0EBC" w:rsidRPr="00F10FE1" w:rsidRDefault="00AF0EBC" w:rsidP="008A4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LEIS QUE O MEC DESISTIU DE ALTERAR:</w:t>
            </w:r>
          </w:p>
          <w:p w:rsidR="00AF0EBC" w:rsidRPr="00F10FE1" w:rsidRDefault="00AF0EBC" w:rsidP="00F10FE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Lei 12.772/2012</w:t>
            </w: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, que estrutura o Plano de Carreiras e Cargos de Magistério Federal</w:t>
            </w:r>
            <w:r w:rsidR="008A4AB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F0EBC" w:rsidRPr="00F10FE1" w:rsidRDefault="00AF0EBC" w:rsidP="00F10FE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Lei 9.637/1998</w:t>
            </w: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, sobre a qualificação de entidades como organização social</w:t>
            </w:r>
            <w:r w:rsidR="008A4AB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F0EBC" w:rsidRPr="00F10FE1" w:rsidRDefault="00AF0EBC" w:rsidP="00F10FE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Lei 11.196/2005</w:t>
            </w: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, com regras sobre regime especial de tributação</w:t>
            </w:r>
            <w:r w:rsidR="008A4AB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F0EBC" w:rsidRPr="00F10FE1" w:rsidRDefault="00AF0EBC" w:rsidP="00F10FE1">
            <w:pPr>
              <w:numPr>
                <w:ilvl w:val="0"/>
                <w:numId w:val="4"/>
              </w:numPr>
              <w:tabs>
                <w:tab w:val="clear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Lei 12.550/2011</w:t>
            </w: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, que criou a Empresa Brasileira de Serviços Hospitalares (EBSERH</w:t>
            </w:r>
            <w:proofErr w:type="gramStart"/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8A4AB2" w:rsidRDefault="008A4AB2" w:rsidP="008A4AB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F0EBC" w:rsidRPr="00F10FE1" w:rsidRDefault="00AF0EBC" w:rsidP="008A4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LEIS QUE O MEC INCLUIU:</w:t>
            </w:r>
          </w:p>
          <w:p w:rsidR="00AF0EBC" w:rsidRPr="00F10FE1" w:rsidRDefault="00AF0EBC" w:rsidP="008A4AB2">
            <w:pPr>
              <w:numPr>
                <w:ilvl w:val="0"/>
                <w:numId w:val="6"/>
              </w:numPr>
              <w:tabs>
                <w:tab w:val="clear" w:pos="720"/>
              </w:tabs>
              <w:ind w:left="2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Lei 11.091/2005</w:t>
            </w: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, que estrutura o Plano de Carreira dos servidores técnico-administrativos das federais: propõe expandir a lista de atribuições dos servidores</w:t>
            </w:r>
            <w:r w:rsidR="008A4AB2">
              <w:rPr>
                <w:rFonts w:ascii="Times New Roman" w:hAnsi="Times New Roman" w:cs="Times New Roman"/>
                <w:sz w:val="20"/>
                <w:szCs w:val="20"/>
              </w:rPr>
              <w:t xml:space="preserve"> incluindo</w:t>
            </w: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 xml:space="preserve"> a tarefa de "coordenar projetos de ensino, pesquisa e extensão, desde que a atuação seja restrita às atividades </w:t>
            </w:r>
            <w:r w:rsidRPr="00F10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administrativas de gestão"</w:t>
            </w:r>
            <w:r w:rsidR="008A4AB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F0EBC" w:rsidRPr="00F10FE1" w:rsidRDefault="00AF0EBC" w:rsidP="008A4AB2">
            <w:pPr>
              <w:numPr>
                <w:ilvl w:val="0"/>
                <w:numId w:val="6"/>
              </w:numPr>
              <w:tabs>
                <w:tab w:val="clear" w:pos="720"/>
              </w:tabs>
              <w:ind w:left="2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0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Lei 13.800/2019</w:t>
            </w:r>
            <w:r w:rsidRPr="00F10FE1">
              <w:rPr>
                <w:rFonts w:ascii="Times New Roman" w:hAnsi="Times New Roman" w:cs="Times New Roman"/>
                <w:sz w:val="20"/>
                <w:szCs w:val="20"/>
              </w:rPr>
              <w:t>, que determina regras para parcerias da administração pública com organizações gestoras de fundos patrimoniais: permitir que recursos públicos possam ser doados a fundos patrimoniais caso isso esteja previsto em uma lei específica</w:t>
            </w:r>
            <w:r w:rsidR="008A4A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36" w:type="dxa"/>
          </w:tcPr>
          <w:p w:rsidR="00AF0EBC" w:rsidRPr="00F10FE1" w:rsidRDefault="008A4AB2" w:rsidP="00F10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</w:tr>
    </w:tbl>
    <w:p w:rsidR="000F236C" w:rsidRPr="00F10FE1" w:rsidRDefault="000F236C">
      <w:pPr>
        <w:rPr>
          <w:rFonts w:ascii="Times New Roman" w:hAnsi="Times New Roman" w:cs="Times New Roman"/>
          <w:sz w:val="20"/>
          <w:szCs w:val="20"/>
        </w:rPr>
      </w:pPr>
    </w:p>
    <w:sectPr w:rsidR="000F236C" w:rsidRPr="00F10FE1" w:rsidSect="005E6A3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5604"/>
    <w:multiLevelType w:val="multilevel"/>
    <w:tmpl w:val="4344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63DD7"/>
    <w:multiLevelType w:val="multilevel"/>
    <w:tmpl w:val="63D41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249B7"/>
    <w:multiLevelType w:val="multilevel"/>
    <w:tmpl w:val="79CE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323F6"/>
    <w:multiLevelType w:val="multilevel"/>
    <w:tmpl w:val="83D86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2C5419"/>
    <w:multiLevelType w:val="multilevel"/>
    <w:tmpl w:val="14BA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0476FC"/>
    <w:multiLevelType w:val="multilevel"/>
    <w:tmpl w:val="0C3E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E0"/>
    <w:rsid w:val="000F236C"/>
    <w:rsid w:val="00473819"/>
    <w:rsid w:val="005D3012"/>
    <w:rsid w:val="005E6A33"/>
    <w:rsid w:val="007500C0"/>
    <w:rsid w:val="008A4AB2"/>
    <w:rsid w:val="00AB64B4"/>
    <w:rsid w:val="00AF0EBC"/>
    <w:rsid w:val="00B128E0"/>
    <w:rsid w:val="00F1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E6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E6A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E6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E6A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3211</TotalTime>
  <Pages>3</Pages>
  <Words>768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5</cp:revision>
  <dcterms:created xsi:type="dcterms:W3CDTF">2019-10-19T14:30:00Z</dcterms:created>
  <dcterms:modified xsi:type="dcterms:W3CDTF">2019-10-23T00:55:00Z</dcterms:modified>
</cp:coreProperties>
</file>